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7A" w:rsidRDefault="009D577A" w:rsidP="009D577A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KGJK, Nr. 37</w:t>
      </w:r>
      <w:r w:rsidR="0086733A"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</w:rPr>
        <w:t>/2017</w:t>
      </w:r>
    </w:p>
    <w:p w:rsidR="009D577A" w:rsidRDefault="009D577A" w:rsidP="009D577A">
      <w:pPr>
        <w:ind w:left="6480"/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27 dhjetor 2017</w:t>
      </w:r>
    </w:p>
    <w:p w:rsidR="009D577A" w:rsidRDefault="009D577A" w:rsidP="009D577A">
      <w:pPr>
        <w:rPr>
          <w:rFonts w:ascii="Sylfaen" w:hAnsi="Sylfaen"/>
          <w:sz w:val="22"/>
          <w:szCs w:val="22"/>
        </w:rPr>
      </w:pPr>
    </w:p>
    <w:p w:rsidR="009D577A" w:rsidRDefault="009D577A" w:rsidP="009D577A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/>
          <w:sz w:val="23"/>
          <w:szCs w:val="23"/>
        </w:rPr>
        <w:t xml:space="preserve">KËSHILLI GJYQËSOR I KOSOVËS, </w:t>
      </w:r>
      <w:r>
        <w:rPr>
          <w:rFonts w:ascii="Sylfaen" w:hAnsi="Sylfaen"/>
          <w:color w:val="000000"/>
          <w:sz w:val="23"/>
          <w:szCs w:val="23"/>
        </w:rPr>
        <w:t>(</w:t>
      </w:r>
      <w:r>
        <w:rPr>
          <w:rFonts w:ascii="Sylfaen" w:hAnsi="Sylfaen"/>
          <w:b/>
          <w:color w:val="000000"/>
          <w:sz w:val="23"/>
          <w:szCs w:val="23"/>
        </w:rPr>
        <w:t>KGJK)</w:t>
      </w:r>
      <w:r>
        <w:rPr>
          <w:rFonts w:ascii="Sylfaen" w:hAnsi="Sylfaen"/>
          <w:color w:val="000000"/>
          <w:sz w:val="23"/>
          <w:szCs w:val="23"/>
        </w:rPr>
        <w:t xml:space="preserve"> pas shqyrtimit t</w:t>
      </w:r>
      <w:r>
        <w:rPr>
          <w:rFonts w:ascii="Sylfaen" w:hAnsi="Sylfaen"/>
          <w:sz w:val="23"/>
          <w:szCs w:val="23"/>
        </w:rPr>
        <w:t>ë</w:t>
      </w:r>
      <w:r>
        <w:rPr>
          <w:rFonts w:ascii="Sylfaen" w:hAnsi="Sylfaen"/>
          <w:color w:val="000000"/>
          <w:sz w:val="23"/>
          <w:szCs w:val="23"/>
        </w:rPr>
        <w:t xml:space="preserve"> nevoj</w:t>
      </w:r>
      <w:r>
        <w:rPr>
          <w:rFonts w:ascii="Sylfaen" w:hAnsi="Sylfaen"/>
          <w:sz w:val="23"/>
          <w:szCs w:val="23"/>
        </w:rPr>
        <w:t>ë</w:t>
      </w:r>
      <w:r>
        <w:rPr>
          <w:rFonts w:ascii="Sylfaen" w:hAnsi="Sylfaen"/>
          <w:color w:val="000000"/>
          <w:sz w:val="23"/>
          <w:szCs w:val="23"/>
        </w:rPr>
        <w:t>s p</w:t>
      </w:r>
      <w:r>
        <w:rPr>
          <w:rFonts w:ascii="Sylfaen" w:hAnsi="Sylfaen"/>
          <w:sz w:val="23"/>
          <w:szCs w:val="23"/>
        </w:rPr>
        <w:t>ë</w:t>
      </w:r>
      <w:r>
        <w:rPr>
          <w:rFonts w:ascii="Sylfaen" w:hAnsi="Sylfaen"/>
          <w:color w:val="000000"/>
          <w:sz w:val="23"/>
          <w:szCs w:val="23"/>
        </w:rPr>
        <w:t>r caktimin e ushtruesit të detyrës gjyqtarit mbikëqyrës të Gjykatës Themelore Mitrovicë, dega Zubin Potok dhe me pëlqimin e kryetarit të Gjykatë Themelore Mitrovicë, bazuar në nenin 23 të Ligjit nr. 03/L-223  për Këshillin Gjyqësor të Kosovës, në mbledhjen e 196-të, të mbajtur me datë 27 dhjetor 2017, merr këtë</w:t>
      </w:r>
      <w:r>
        <w:rPr>
          <w:rFonts w:ascii="Sylfaen" w:hAnsi="Sylfaen"/>
          <w:color w:val="000000"/>
          <w:sz w:val="22"/>
          <w:szCs w:val="22"/>
        </w:rPr>
        <w:t>:</w:t>
      </w:r>
    </w:p>
    <w:p w:rsidR="009D577A" w:rsidRDefault="009D577A" w:rsidP="009D577A">
      <w:pPr>
        <w:pStyle w:val="Header"/>
        <w:tabs>
          <w:tab w:val="left" w:pos="720"/>
        </w:tabs>
        <w:outlineLvl w:val="0"/>
        <w:rPr>
          <w:rFonts w:ascii="Sylfaen" w:hAnsi="Sylfaen"/>
          <w:b/>
          <w:sz w:val="28"/>
          <w:szCs w:val="22"/>
        </w:rPr>
      </w:pP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2"/>
        </w:rPr>
      </w:pPr>
      <w:r>
        <w:rPr>
          <w:rFonts w:ascii="Sylfaen" w:hAnsi="Sylfaen"/>
          <w:b/>
          <w:sz w:val="28"/>
          <w:szCs w:val="22"/>
        </w:rPr>
        <w:t xml:space="preserve">V E N D I M </w:t>
      </w:r>
    </w:p>
    <w:p w:rsidR="009D577A" w:rsidRDefault="009D577A" w:rsidP="009D577A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9D577A" w:rsidRDefault="009D577A" w:rsidP="009D577A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Caktohet ushtrues i detyrës së gjyqtarit mbikëqyrës të Gjykatës Themeloren në Gjilan, dega </w:t>
      </w:r>
      <w:r w:rsidR="00216500">
        <w:rPr>
          <w:rFonts w:ascii="Sylfaen" w:hAnsi="Sylfaen"/>
          <w:sz w:val="23"/>
          <w:szCs w:val="23"/>
        </w:rPr>
        <w:t>Novobërdë</w:t>
      </w:r>
      <w:r>
        <w:rPr>
          <w:rFonts w:ascii="Sylfaen" w:hAnsi="Sylfaen"/>
          <w:sz w:val="23"/>
          <w:szCs w:val="23"/>
        </w:rPr>
        <w:t>.</w:t>
      </w:r>
    </w:p>
    <w:p w:rsidR="009D577A" w:rsidRDefault="009D577A" w:rsidP="009D577A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3"/>
          <w:szCs w:val="23"/>
        </w:rPr>
      </w:pPr>
      <w:proofErr w:type="spellStart"/>
      <w:r>
        <w:rPr>
          <w:rFonts w:ascii="Sylfaen" w:hAnsi="Sylfaen"/>
          <w:sz w:val="23"/>
          <w:szCs w:val="23"/>
        </w:rPr>
        <w:t>Znj</w:t>
      </w:r>
      <w:proofErr w:type="spellEnd"/>
      <w:r>
        <w:rPr>
          <w:rFonts w:ascii="Sylfaen" w:hAnsi="Sylfaen"/>
          <w:sz w:val="23"/>
          <w:szCs w:val="23"/>
        </w:rPr>
        <w:t>. Emine Salihu, do ta ushtroj pozitën e ushtruesit të detyrës së gjyqtarit mbikëqyrës nga data 27 dhjetor 2017  deri në përzgjedhjen e gjyqtarit mbikëqyrës të kësaj dege nga ana e Këshillit Gjyqësor të Kosovës.</w:t>
      </w:r>
    </w:p>
    <w:p w:rsidR="009D577A" w:rsidRDefault="009D577A" w:rsidP="009D577A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3"/>
          <w:szCs w:val="23"/>
        </w:rPr>
        <w:t>Vendimi hyn në fuqi me datë 27 dhjetor 2017</w:t>
      </w:r>
      <w:r>
        <w:rPr>
          <w:rFonts w:ascii="Sylfaen" w:hAnsi="Sylfaen"/>
          <w:sz w:val="22"/>
          <w:szCs w:val="22"/>
        </w:rPr>
        <w:t>.</w:t>
      </w:r>
    </w:p>
    <w:p w:rsidR="009D577A" w:rsidRDefault="009D577A" w:rsidP="009D577A">
      <w:pPr>
        <w:pStyle w:val="ListParagraph"/>
        <w:jc w:val="center"/>
        <w:rPr>
          <w:rFonts w:ascii="Sylfaen" w:hAnsi="Sylfaen"/>
          <w:b/>
        </w:rPr>
      </w:pPr>
    </w:p>
    <w:p w:rsidR="009D577A" w:rsidRDefault="009D577A" w:rsidP="009D577A">
      <w:pPr>
        <w:pStyle w:val="Header"/>
        <w:tabs>
          <w:tab w:val="left" w:pos="720"/>
        </w:tabs>
        <w:ind w:left="720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ab/>
        <w:t>A r s y e t i m</w:t>
      </w:r>
    </w:p>
    <w:p w:rsidR="009D577A" w:rsidRDefault="009D577A" w:rsidP="009D577A">
      <w:pPr>
        <w:pStyle w:val="Header"/>
        <w:tabs>
          <w:tab w:val="left" w:pos="720"/>
        </w:tabs>
        <w:outlineLvl w:val="0"/>
        <w:rPr>
          <w:rFonts w:ascii="Sylfaen" w:hAnsi="Sylfaen"/>
          <w:sz w:val="22"/>
          <w:szCs w:val="22"/>
        </w:rPr>
      </w:pPr>
    </w:p>
    <w:p w:rsidR="009D577A" w:rsidRDefault="009D577A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Këshilli</w:t>
      </w:r>
      <w:r w:rsidR="00303067">
        <w:rPr>
          <w:rFonts w:ascii="Sylfaen" w:hAnsi="Sylfaen"/>
          <w:sz w:val="23"/>
          <w:szCs w:val="23"/>
        </w:rPr>
        <w:t xml:space="preserve"> </w:t>
      </w:r>
      <w:bookmarkStart w:id="0" w:name="_GoBack"/>
      <w:bookmarkEnd w:id="0"/>
      <w:r w:rsidR="00303067">
        <w:rPr>
          <w:rFonts w:ascii="Sylfaen" w:hAnsi="Sylfaen"/>
          <w:sz w:val="23"/>
          <w:szCs w:val="23"/>
        </w:rPr>
        <w:t>G</w:t>
      </w:r>
      <w:r w:rsidR="005F4D18">
        <w:rPr>
          <w:rFonts w:ascii="Sylfaen" w:hAnsi="Sylfaen"/>
          <w:sz w:val="23"/>
          <w:szCs w:val="23"/>
        </w:rPr>
        <w:t xml:space="preserve">jyqësor i Kosovës me datë 27 </w:t>
      </w:r>
      <w:r>
        <w:rPr>
          <w:rFonts w:ascii="Sylfaen" w:hAnsi="Sylfaen"/>
          <w:sz w:val="23"/>
          <w:szCs w:val="23"/>
        </w:rPr>
        <w:t xml:space="preserve">dhjetor 2017 ka pranuar letrën e </w:t>
      </w:r>
      <w:proofErr w:type="spellStart"/>
      <w:r>
        <w:rPr>
          <w:rFonts w:ascii="Sylfaen" w:hAnsi="Sylfaen"/>
          <w:sz w:val="23"/>
          <w:szCs w:val="23"/>
        </w:rPr>
        <w:t>ud</w:t>
      </w:r>
      <w:proofErr w:type="spellEnd"/>
      <w:r>
        <w:rPr>
          <w:rFonts w:ascii="Sylfaen" w:hAnsi="Sylfaen"/>
          <w:sz w:val="23"/>
          <w:szCs w:val="23"/>
        </w:rPr>
        <w:t xml:space="preserve">. kryetarit të Gjykatës Themelore Gjilan, z. Afrim Shala, përmes se cilës ka njoftuar se gjyqtari mbikëqyrës të Gjykatës Themelore Gjilan, dega  </w:t>
      </w:r>
      <w:r w:rsidR="00216500">
        <w:rPr>
          <w:rFonts w:ascii="Sylfaen" w:hAnsi="Sylfaen"/>
          <w:sz w:val="23"/>
          <w:szCs w:val="23"/>
        </w:rPr>
        <w:t>Novobërdë</w:t>
      </w:r>
      <w:r>
        <w:rPr>
          <w:rFonts w:ascii="Sylfaen" w:hAnsi="Sylfaen"/>
          <w:sz w:val="23"/>
          <w:szCs w:val="23"/>
        </w:rPr>
        <w:t xml:space="preserve"> do të dal në pension me datë 12 janar 2017, dhe si pasoj</w:t>
      </w:r>
      <w:r w:rsidR="005F4D18">
        <w:rPr>
          <w:rFonts w:ascii="Sylfaen" w:hAnsi="Sylfaen"/>
          <w:sz w:val="23"/>
          <w:szCs w:val="23"/>
        </w:rPr>
        <w:t>ë</w:t>
      </w:r>
      <w:r>
        <w:rPr>
          <w:rFonts w:ascii="Sylfaen" w:hAnsi="Sylfaen"/>
          <w:sz w:val="23"/>
          <w:szCs w:val="23"/>
        </w:rPr>
        <w:t xml:space="preserve"> e kësaj kjo degë do të mbet pa gjyqtar mbikëqyrës. </w:t>
      </w:r>
    </w:p>
    <w:p w:rsidR="009D577A" w:rsidRDefault="009D577A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</w:t>
      </w:r>
    </w:p>
    <w:p w:rsidR="009D577A" w:rsidRDefault="009D577A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Po ashtu, përmes kësaj letre Z. Shala propozon  që </w:t>
      </w:r>
      <w:proofErr w:type="spellStart"/>
      <w:r>
        <w:rPr>
          <w:rFonts w:ascii="Sylfaen" w:hAnsi="Sylfaen"/>
          <w:sz w:val="23"/>
          <w:szCs w:val="23"/>
        </w:rPr>
        <w:t>Znj</w:t>
      </w:r>
      <w:proofErr w:type="spellEnd"/>
      <w:r>
        <w:rPr>
          <w:rFonts w:ascii="Sylfaen" w:hAnsi="Sylfaen"/>
          <w:sz w:val="23"/>
          <w:szCs w:val="23"/>
        </w:rPr>
        <w:t xml:space="preserve">. Emine Salihu, gjyqtar në Gjykatën </w:t>
      </w:r>
    </w:p>
    <w:p w:rsidR="009D577A" w:rsidRDefault="005F4D18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Themelore Gjilan,</w:t>
      </w:r>
      <w:r w:rsidR="009D577A">
        <w:rPr>
          <w:rFonts w:ascii="Sylfaen" w:hAnsi="Sylfaen"/>
          <w:sz w:val="23"/>
          <w:szCs w:val="23"/>
        </w:rPr>
        <w:t xml:space="preserve"> dega Novobërdë të caktohet ushtruese e detyrës se gjyqtarit mbikëqyrës në Gj</w:t>
      </w:r>
      <w:r>
        <w:rPr>
          <w:rFonts w:ascii="Sylfaen" w:hAnsi="Sylfaen"/>
          <w:sz w:val="23"/>
          <w:szCs w:val="23"/>
        </w:rPr>
        <w:t xml:space="preserve">ykatën Themelore Gjilan,  dega </w:t>
      </w:r>
      <w:r w:rsidR="009D577A">
        <w:rPr>
          <w:rFonts w:ascii="Sylfaen" w:hAnsi="Sylfaen"/>
          <w:sz w:val="23"/>
          <w:szCs w:val="23"/>
        </w:rPr>
        <w:t>Novobërdë.</w:t>
      </w:r>
    </w:p>
    <w:p w:rsidR="009D577A" w:rsidRDefault="009D577A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</w:p>
    <w:p w:rsidR="009D577A" w:rsidRDefault="009D577A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</w:p>
    <w:p w:rsidR="009D577A" w:rsidRDefault="009D577A" w:rsidP="005F4D18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tabs>
          <w:tab w:val="left" w:pos="4680"/>
        </w:tabs>
        <w:jc w:val="both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lastRenderedPageBreak/>
        <w:t xml:space="preserve">Këshilli, pasi e shqyrtoj me kujdes kërkesën e z. Shala, duke pasur parasysh rrethanat e rastit, dhe duke u mbështetur </w:t>
      </w:r>
      <w:r>
        <w:rPr>
          <w:rFonts w:ascii="Sylfaen" w:hAnsi="Sylfaen"/>
          <w:color w:val="000000"/>
          <w:sz w:val="23"/>
          <w:szCs w:val="23"/>
        </w:rPr>
        <w:t>në nenin 23 të Ligjit nr. 03/L-223  për Këshillin Gjyqësor të Kosovës, vendosi si n</w:t>
      </w:r>
      <w:r w:rsidR="005F4D18">
        <w:rPr>
          <w:rFonts w:ascii="Sylfaen" w:hAnsi="Sylfaen"/>
          <w:color w:val="000000"/>
          <w:sz w:val="23"/>
          <w:szCs w:val="23"/>
        </w:rPr>
        <w:t>ë</w:t>
      </w:r>
      <w:r>
        <w:rPr>
          <w:rFonts w:ascii="Sylfaen" w:hAnsi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</w:rPr>
        <w:t>dispzitv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të këtij vendimi</w:t>
      </w: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  <w:t xml:space="preserve">          Nehat IDRIZI,</w:t>
      </w: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</w:p>
    <w:p w:rsidR="009D577A" w:rsidRDefault="009D577A" w:rsidP="009D57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                                                                       Kryesues i  Këshillit Gjyqësor të Kosovës </w:t>
      </w:r>
    </w:p>
    <w:p w:rsidR="009D577A" w:rsidRDefault="009D577A" w:rsidP="009D577A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</w:rPr>
      </w:pPr>
    </w:p>
    <w:p w:rsidR="009D577A" w:rsidRDefault="009D577A" w:rsidP="009D577A">
      <w:pPr>
        <w:pStyle w:val="Header"/>
        <w:tabs>
          <w:tab w:val="left" w:pos="720"/>
        </w:tabs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2"/>
        </w:rPr>
        <w:t xml:space="preserve">Kopje e vendimit i dërgohet: </w:t>
      </w:r>
    </w:p>
    <w:p w:rsidR="009D577A" w:rsidRDefault="009D577A" w:rsidP="009D577A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2"/>
        </w:rPr>
        <w:t xml:space="preserve"> </w:t>
      </w:r>
    </w:p>
    <w:p w:rsidR="009D577A" w:rsidRDefault="009D577A" w:rsidP="009D577A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0"/>
        </w:rPr>
        <w:t>Emine Salihu,</w:t>
      </w:r>
      <w:r>
        <w:rPr>
          <w:rFonts w:ascii="Sylfaen" w:hAnsi="Sylfaen"/>
          <w:i/>
          <w:sz w:val="20"/>
          <w:szCs w:val="22"/>
        </w:rPr>
        <w:t xml:space="preserve"> </w:t>
      </w:r>
      <w:r w:rsidR="005F4D18">
        <w:rPr>
          <w:rFonts w:ascii="Sylfaen" w:hAnsi="Sylfaen"/>
          <w:i/>
          <w:sz w:val="20"/>
          <w:szCs w:val="22"/>
        </w:rPr>
        <w:t xml:space="preserve">gjyqtare Gjykata Themelore Gjilan, dega </w:t>
      </w:r>
      <w:r w:rsidR="00073FB2">
        <w:rPr>
          <w:rFonts w:ascii="Sylfaen" w:hAnsi="Sylfaen"/>
          <w:i/>
          <w:sz w:val="20"/>
          <w:szCs w:val="22"/>
        </w:rPr>
        <w:t>Novobërdë</w:t>
      </w:r>
    </w:p>
    <w:p w:rsidR="009D577A" w:rsidRDefault="009D577A" w:rsidP="009D577A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2"/>
        </w:rPr>
      </w:pPr>
      <w:proofErr w:type="spellStart"/>
      <w:r>
        <w:rPr>
          <w:rFonts w:ascii="Sylfaen" w:hAnsi="Sylfaen"/>
          <w:i/>
          <w:sz w:val="20"/>
          <w:szCs w:val="22"/>
        </w:rPr>
        <w:t>Ud</w:t>
      </w:r>
      <w:proofErr w:type="spellEnd"/>
      <w:r>
        <w:rPr>
          <w:rFonts w:ascii="Sylfaen" w:hAnsi="Sylfaen"/>
          <w:i/>
          <w:sz w:val="20"/>
          <w:szCs w:val="22"/>
        </w:rPr>
        <w:t>. Kryetarit të Gjykatës Themelore Gjilan</w:t>
      </w:r>
    </w:p>
    <w:p w:rsidR="009D577A" w:rsidRDefault="009D577A" w:rsidP="009D577A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2"/>
        </w:rPr>
        <w:t>Sekretariatit të KGJK-së</w:t>
      </w:r>
    </w:p>
    <w:p w:rsidR="009D577A" w:rsidRDefault="009D577A" w:rsidP="009D577A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2"/>
        </w:rPr>
        <w:t xml:space="preserve">Departamentit të Administratës dhe Personelit </w:t>
      </w:r>
    </w:p>
    <w:p w:rsidR="009D577A" w:rsidRDefault="009D577A" w:rsidP="009D577A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2"/>
        </w:rPr>
        <w:t xml:space="preserve">Arkivit </w:t>
      </w:r>
    </w:p>
    <w:p w:rsidR="009D577A" w:rsidRDefault="009D577A" w:rsidP="009D577A">
      <w:pPr>
        <w:pStyle w:val="Header"/>
        <w:tabs>
          <w:tab w:val="left" w:pos="720"/>
        </w:tabs>
        <w:jc w:val="both"/>
        <w:outlineLvl w:val="0"/>
      </w:pPr>
    </w:p>
    <w:p w:rsidR="009D577A" w:rsidRDefault="009D577A" w:rsidP="009D577A"/>
    <w:p w:rsidR="00DD5C85" w:rsidRPr="009D577A" w:rsidRDefault="00DD5C85" w:rsidP="009D577A"/>
    <w:sectPr w:rsidR="00DD5C85" w:rsidRPr="009D577A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2B" w:rsidRDefault="00CE592B" w:rsidP="0003453F">
      <w:r>
        <w:separator/>
      </w:r>
    </w:p>
  </w:endnote>
  <w:endnote w:type="continuationSeparator" w:id="0">
    <w:p w:rsidR="00CE592B" w:rsidRDefault="00CE592B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2B" w:rsidRDefault="00CE592B" w:rsidP="0003453F">
      <w:r>
        <w:separator/>
      </w:r>
    </w:p>
  </w:footnote>
  <w:footnote w:type="continuationSeparator" w:id="0">
    <w:p w:rsidR="00CE592B" w:rsidRDefault="00CE592B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A"/>
    <w:rsid w:val="0003453F"/>
    <w:rsid w:val="00061F36"/>
    <w:rsid w:val="00073A03"/>
    <w:rsid w:val="00073FB2"/>
    <w:rsid w:val="000B384F"/>
    <w:rsid w:val="000C6CDD"/>
    <w:rsid w:val="000E4325"/>
    <w:rsid w:val="00146B43"/>
    <w:rsid w:val="001611C8"/>
    <w:rsid w:val="001D1357"/>
    <w:rsid w:val="001E5766"/>
    <w:rsid w:val="001F1476"/>
    <w:rsid w:val="00216500"/>
    <w:rsid w:val="002249A7"/>
    <w:rsid w:val="00243E76"/>
    <w:rsid w:val="002506FA"/>
    <w:rsid w:val="00251F13"/>
    <w:rsid w:val="002C6B1D"/>
    <w:rsid w:val="00303067"/>
    <w:rsid w:val="00324E20"/>
    <w:rsid w:val="0035041D"/>
    <w:rsid w:val="003F4BA7"/>
    <w:rsid w:val="00447F15"/>
    <w:rsid w:val="00450A94"/>
    <w:rsid w:val="004E209B"/>
    <w:rsid w:val="004F52A3"/>
    <w:rsid w:val="004F79B6"/>
    <w:rsid w:val="00542DE9"/>
    <w:rsid w:val="00560681"/>
    <w:rsid w:val="00592264"/>
    <w:rsid w:val="005C57B2"/>
    <w:rsid w:val="005D0313"/>
    <w:rsid w:val="005D4AE7"/>
    <w:rsid w:val="005F4D18"/>
    <w:rsid w:val="00640988"/>
    <w:rsid w:val="00700574"/>
    <w:rsid w:val="00752F63"/>
    <w:rsid w:val="0075514C"/>
    <w:rsid w:val="00764554"/>
    <w:rsid w:val="0078386C"/>
    <w:rsid w:val="00796E9A"/>
    <w:rsid w:val="007D1E2F"/>
    <w:rsid w:val="007E7A56"/>
    <w:rsid w:val="0086733A"/>
    <w:rsid w:val="008C5DD1"/>
    <w:rsid w:val="008C6ED6"/>
    <w:rsid w:val="008D5A7D"/>
    <w:rsid w:val="008E1D56"/>
    <w:rsid w:val="0097505A"/>
    <w:rsid w:val="0097715C"/>
    <w:rsid w:val="0099663D"/>
    <w:rsid w:val="009C3DA9"/>
    <w:rsid w:val="009D577A"/>
    <w:rsid w:val="009F7A8E"/>
    <w:rsid w:val="00A14682"/>
    <w:rsid w:val="00A553CA"/>
    <w:rsid w:val="00A64A52"/>
    <w:rsid w:val="00A9740A"/>
    <w:rsid w:val="00AF6E36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CD16AE"/>
    <w:rsid w:val="00CE592B"/>
    <w:rsid w:val="00D4429D"/>
    <w:rsid w:val="00D60435"/>
    <w:rsid w:val="00D80BED"/>
    <w:rsid w:val="00D82C04"/>
    <w:rsid w:val="00D834C6"/>
    <w:rsid w:val="00D84FE3"/>
    <w:rsid w:val="00D85F08"/>
    <w:rsid w:val="00DA29BC"/>
    <w:rsid w:val="00DB7B24"/>
    <w:rsid w:val="00DD5C85"/>
    <w:rsid w:val="00E109C3"/>
    <w:rsid w:val="00EA2435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EA12-24CE-441B-87D7-F7C8D9AD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8</cp:revision>
  <cp:lastPrinted>2018-01-03T08:53:00Z</cp:lastPrinted>
  <dcterms:created xsi:type="dcterms:W3CDTF">2017-12-29T14:01:00Z</dcterms:created>
  <dcterms:modified xsi:type="dcterms:W3CDTF">2018-01-03T08:58:00Z</dcterms:modified>
</cp:coreProperties>
</file>